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413EFD">
        <w:t xml:space="preserve"> #85</w:t>
      </w:r>
      <w:r w:rsidR="0074405B">
        <w:tab/>
      </w:r>
      <w:bookmarkStart w:id="0" w:name="_GoBack"/>
      <w:r w:rsidR="00254B17" w:rsidRPr="00254B17">
        <w:rPr>
          <w:sz w:val="32"/>
          <w:szCs w:val="32"/>
        </w:rPr>
        <w:t>R4-1713493</w:t>
      </w:r>
      <w:bookmarkEnd w:id="0"/>
    </w:p>
    <w:p w:rsidR="0074405B" w:rsidRDefault="00EB5C05" w:rsidP="0074405B">
      <w:pPr>
        <w:pStyle w:val="CRCoverPage"/>
        <w:outlineLvl w:val="0"/>
        <w:rPr>
          <w:b/>
          <w:noProof/>
          <w:sz w:val="24"/>
        </w:rPr>
      </w:pPr>
      <w:r>
        <w:rPr>
          <w:b/>
          <w:noProof/>
          <w:sz w:val="24"/>
        </w:rPr>
        <w:t>Reno</w:t>
      </w:r>
      <w:r w:rsidR="00DE7585" w:rsidRPr="00DE7585">
        <w:rPr>
          <w:b/>
          <w:noProof/>
          <w:sz w:val="24"/>
        </w:rPr>
        <w:t xml:space="preserve">, </w:t>
      </w:r>
      <w:r>
        <w:rPr>
          <w:b/>
          <w:noProof/>
          <w:sz w:val="24"/>
        </w:rPr>
        <w:t>USA</w:t>
      </w:r>
      <w:r w:rsidR="00DE7585" w:rsidRPr="00DE7585">
        <w:rPr>
          <w:b/>
          <w:noProof/>
          <w:sz w:val="24"/>
        </w:rPr>
        <w:t xml:space="preserve">, </w:t>
      </w:r>
      <w:r w:rsidR="005479F6">
        <w:rPr>
          <w:b/>
          <w:noProof/>
          <w:sz w:val="24"/>
        </w:rPr>
        <w:t>Nov. 27</w:t>
      </w:r>
      <w:r w:rsidR="00DE7585" w:rsidRPr="00DE7585">
        <w:rPr>
          <w:b/>
          <w:noProof/>
          <w:sz w:val="24"/>
        </w:rPr>
        <w:t xml:space="preserve"> –</w:t>
      </w:r>
      <w:r w:rsidR="005479F6">
        <w:rPr>
          <w:b/>
          <w:noProof/>
          <w:sz w:val="24"/>
        </w:rPr>
        <w:t xml:space="preserve"> Dec.</w:t>
      </w:r>
      <w:r w:rsidR="00DE7585" w:rsidRPr="00DE7585">
        <w:rPr>
          <w:b/>
          <w:noProof/>
          <w:sz w:val="24"/>
        </w:rPr>
        <w:t xml:space="preserve"> 1 2017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2606D0" w:rsidRPr="002606D0">
        <w:rPr>
          <w:sz w:val="22"/>
          <w:szCs w:val="22"/>
          <w:lang w:val="sv-SE"/>
        </w:rPr>
        <w:t>8.19.1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AF51FD">
        <w:rPr>
          <w:rFonts w:hint="eastAsia"/>
          <w:sz w:val="22"/>
          <w:szCs w:val="22"/>
        </w:rPr>
        <w:t xml:space="preserve">Discussion </w:t>
      </w:r>
      <w:r w:rsidR="00AF51FD">
        <w:rPr>
          <w:sz w:val="22"/>
          <w:szCs w:val="22"/>
        </w:rPr>
        <w:t>on LS response on</w:t>
      </w:r>
      <w:r w:rsidR="0010689C">
        <w:rPr>
          <w:sz w:val="22"/>
          <w:szCs w:val="22"/>
        </w:rPr>
        <w:t xml:space="preserve"> </w:t>
      </w:r>
      <w:r w:rsidR="00675A6E">
        <w:rPr>
          <w:sz w:val="22"/>
          <w:szCs w:val="22"/>
        </w:rPr>
        <w:t xml:space="preserve">potential </w:t>
      </w:r>
      <w:r w:rsidR="0010689C">
        <w:rPr>
          <w:sz w:val="22"/>
          <w:szCs w:val="22"/>
        </w:rPr>
        <w:t xml:space="preserve">switching time in </w:t>
      </w:r>
      <w:r w:rsidR="00AF51FD" w:rsidRPr="00AF51FD">
        <w:rPr>
          <w:sz w:val="22"/>
          <w:szCs w:val="22"/>
        </w:rPr>
        <w:t>Mode-4 PC5 CA</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44C0">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3005B" w:rsidRDefault="00B02772" w:rsidP="00CE0424">
      <w:pPr>
        <w:pStyle w:val="BodyText"/>
      </w:pPr>
      <w:r>
        <w:t xml:space="preserve">In </w:t>
      </w:r>
      <w:r w:rsidR="009631E9">
        <w:t>RAN4#84bis, one LS from RAN1 is received. RAN1 try to check</w:t>
      </w:r>
      <w:r w:rsidR="001D7CA5">
        <w:t xml:space="preserve"> the following aspects for mode-4 PC5 CA:</w:t>
      </w:r>
    </w:p>
    <w:p w:rsidR="001D7CA5" w:rsidRPr="00B733C7" w:rsidRDefault="001D7CA5" w:rsidP="001D7CA5">
      <w:pPr>
        <w:numPr>
          <w:ilvl w:val="0"/>
          <w:numId w:val="14"/>
        </w:numPr>
        <w:overflowPunct/>
        <w:autoSpaceDE/>
        <w:autoSpaceDN/>
        <w:adjustRightInd/>
        <w:spacing w:after="0"/>
        <w:ind w:left="284" w:hanging="284"/>
        <w:textAlignment w:val="auto"/>
        <w:rPr>
          <w:rFonts w:eastAsia="Malgun Gothic" w:cs="Arial"/>
          <w:lang w:eastAsia="ko-KR"/>
        </w:rPr>
      </w:pPr>
      <w:r w:rsidRPr="00B733C7">
        <w:rPr>
          <w:rFonts w:eastAsia="Malgun Gothic" w:cs="Arial"/>
          <w:lang w:eastAsia="ko-KR"/>
        </w:rPr>
        <w:t>Switching time for intra-band and inter-band due to TX switching and interruption time at the receiver</w:t>
      </w:r>
    </w:p>
    <w:p w:rsidR="001D7CA5" w:rsidRPr="00B733C7" w:rsidRDefault="001D7CA5" w:rsidP="001D7CA5">
      <w:pPr>
        <w:numPr>
          <w:ilvl w:val="0"/>
          <w:numId w:val="14"/>
        </w:numPr>
        <w:overflowPunct/>
        <w:autoSpaceDE/>
        <w:autoSpaceDN/>
        <w:adjustRightInd/>
        <w:spacing w:after="0"/>
        <w:ind w:left="284" w:hanging="284"/>
        <w:textAlignment w:val="auto"/>
        <w:rPr>
          <w:rFonts w:eastAsia="Malgun Gothic" w:cs="Arial"/>
          <w:lang w:eastAsia="ko-KR"/>
        </w:rPr>
      </w:pPr>
      <w:r w:rsidRPr="00B733C7">
        <w:rPr>
          <w:rFonts w:eastAsia="Malgun Gothic" w:cs="Arial"/>
          <w:lang w:eastAsia="ko-KR"/>
        </w:rPr>
        <w:t xml:space="preserve">Feasibility of simultaneous transmission on intra-band, non-contiguous carriers. RAN1 requests feedback of impact of MPR and maximum </w:t>
      </w:r>
      <w:r>
        <w:rPr>
          <w:rFonts w:eastAsia="Malgun Gothic" w:cs="Arial"/>
          <w:lang w:eastAsia="ko-KR"/>
        </w:rPr>
        <w:t>PSD</w:t>
      </w:r>
      <w:r w:rsidRPr="00B733C7">
        <w:rPr>
          <w:rFonts w:eastAsia="Malgun Gothic" w:cs="Arial"/>
          <w:lang w:eastAsia="ko-KR"/>
        </w:rPr>
        <w:t xml:space="preserve"> imbalance between carriers.</w:t>
      </w:r>
    </w:p>
    <w:p w:rsidR="00652DF5" w:rsidRDefault="00652DF5" w:rsidP="00CE0424">
      <w:pPr>
        <w:pStyle w:val="BodyText"/>
      </w:pPr>
    </w:p>
    <w:p w:rsidR="001D7CA5" w:rsidRPr="00CE0424" w:rsidRDefault="001D7CA5" w:rsidP="00CE0424">
      <w:pPr>
        <w:pStyle w:val="BodyText"/>
      </w:pPr>
      <w:r>
        <w:t xml:space="preserve">In this contribution, we try to share our view on switching time for intra-band and inter-band due to TX switching. </w:t>
      </w:r>
    </w:p>
    <w:p w:rsidR="001643A8" w:rsidRDefault="00BF561F" w:rsidP="00CE0424">
      <w:pPr>
        <w:pStyle w:val="Heading1"/>
      </w:pPr>
      <w:bookmarkStart w:id="1" w:name="_Ref178064866"/>
      <w:r>
        <w:t>Switching time d</w:t>
      </w:r>
      <w:r w:rsidR="004000E8" w:rsidRPr="00CE0424">
        <w:t>iscussion</w:t>
      </w:r>
      <w:bookmarkEnd w:id="1"/>
    </w:p>
    <w:p w:rsidR="00B21BA0" w:rsidRDefault="00BF561F" w:rsidP="00B21BA0">
      <w:r>
        <w:t>In the LS regarding switching time, there are two scenarios are mentioned, one is intra-band and one is inter-band. In current RAN4 discussion, only intra-band is discussed and no inter-band scenario for PC5. Thus</w:t>
      </w:r>
      <w:r>
        <w:rPr>
          <w:rFonts w:hint="eastAsia"/>
        </w:rPr>
        <w:t>,</w:t>
      </w:r>
      <w:r>
        <w:t xml:space="preserve"> we shall inform RAN1 about these issues.</w:t>
      </w:r>
    </w:p>
    <w:p w:rsidR="00BF561F" w:rsidRDefault="00BF561F" w:rsidP="00BF561F">
      <w:pPr>
        <w:pStyle w:val="Observation"/>
      </w:pPr>
      <w:bookmarkStart w:id="2" w:name="_Toc498451424"/>
      <w:bookmarkStart w:id="3" w:name="_Toc498457092"/>
      <w:bookmarkStart w:id="4" w:name="_Toc498457130"/>
      <w:bookmarkStart w:id="5" w:name="_Toc498458386"/>
      <w:bookmarkStart w:id="6" w:name="_Toc498458415"/>
      <w:bookmarkStart w:id="7" w:name="_Toc498464720"/>
      <w:bookmarkStart w:id="8" w:name="_Toc498465379"/>
      <w:bookmarkStart w:id="9" w:name="_Toc498522144"/>
      <w:bookmarkStart w:id="10" w:name="_Toc498522607"/>
      <w:bookmarkStart w:id="11" w:name="_Toc498760589"/>
      <w:bookmarkStart w:id="12" w:name="_Toc498760762"/>
      <w:r>
        <w:t>In RAN4, only intra-band PC5 is discussed</w:t>
      </w:r>
      <w:bookmarkEnd w:id="2"/>
      <w:bookmarkEnd w:id="3"/>
      <w:bookmarkEnd w:id="4"/>
      <w:bookmarkEnd w:id="5"/>
      <w:bookmarkEnd w:id="6"/>
      <w:bookmarkEnd w:id="7"/>
      <w:bookmarkEnd w:id="8"/>
      <w:bookmarkEnd w:id="9"/>
      <w:bookmarkEnd w:id="10"/>
      <w:bookmarkEnd w:id="11"/>
      <w:bookmarkEnd w:id="12"/>
    </w:p>
    <w:p w:rsidR="00250223" w:rsidRDefault="00250223" w:rsidP="00B21BA0">
      <w:pPr>
        <w:rPr>
          <w:rFonts w:eastAsia="Malgun Gothic" w:cs="Arial"/>
          <w:lang w:eastAsia="ko-KR"/>
        </w:rPr>
      </w:pPr>
      <w:r>
        <w:t xml:space="preserve">Currently, RAN4 group is not clear on the scope of </w:t>
      </w:r>
      <w:r>
        <w:rPr>
          <w:rFonts w:eastAsia="Malgun Gothic" w:cs="Arial"/>
          <w:lang w:eastAsia="ko-KR"/>
        </w:rPr>
        <w:t>s</w:t>
      </w:r>
      <w:r w:rsidRPr="00B733C7">
        <w:rPr>
          <w:rFonts w:eastAsia="Malgun Gothic" w:cs="Arial"/>
          <w:lang w:eastAsia="ko-KR"/>
        </w:rPr>
        <w:t>witching time for inter-band</w:t>
      </w:r>
      <w:r>
        <w:rPr>
          <w:rFonts w:eastAsia="Malgun Gothic" w:cs="Arial"/>
          <w:lang w:eastAsia="ko-KR"/>
        </w:rPr>
        <w:t xml:space="preserve"> of PC5. If “inter-band” means Uu link and PC5 and check the </w:t>
      </w:r>
      <w:r w:rsidR="006C6FC3">
        <w:rPr>
          <w:rFonts w:eastAsia="Malgun Gothic" w:cs="Arial"/>
          <w:lang w:eastAsia="ko-KR"/>
        </w:rPr>
        <w:t xml:space="preserve">TX </w:t>
      </w:r>
      <w:r>
        <w:rPr>
          <w:rFonts w:eastAsia="Malgun Gothic" w:cs="Arial"/>
          <w:lang w:eastAsia="ko-KR"/>
        </w:rPr>
        <w:t xml:space="preserve">switching time of Uu component carrier to PC5 component carrier, it may be not relevant, since it is </w:t>
      </w:r>
      <w:r w:rsidR="006C6FC3" w:rsidRPr="006C6FC3">
        <w:rPr>
          <w:rFonts w:eastAsia="Malgun Gothic" w:cs="Arial"/>
          <w:b/>
          <w:i/>
          <w:lang w:eastAsia="ko-KR"/>
        </w:rPr>
        <w:t>NOT</w:t>
      </w:r>
      <w:r w:rsidR="006C6FC3">
        <w:rPr>
          <w:rFonts w:eastAsia="Malgun Gothic" w:cs="Arial"/>
          <w:lang w:eastAsia="ko-KR"/>
        </w:rPr>
        <w:t xml:space="preserve"> </w:t>
      </w:r>
      <w:r>
        <w:rPr>
          <w:rFonts w:eastAsia="Malgun Gothic" w:cs="Arial"/>
          <w:lang w:eastAsia="ko-KR"/>
        </w:rPr>
        <w:t xml:space="preserve">a practical implementation to share the Uu TX chain with PC5 Tx Chain. </w:t>
      </w:r>
      <w:r w:rsidR="006C6FC3">
        <w:rPr>
          <w:rFonts w:eastAsia="Malgun Gothic" w:cs="Arial"/>
          <w:lang w:eastAsia="ko-KR"/>
        </w:rPr>
        <w:t xml:space="preserve">Thus, we propose to let RAN1 make some clarification on scope of switching time for inter-band. At least, we shall inform RAN1 </w:t>
      </w:r>
      <w:r w:rsidR="00D14D88">
        <w:rPr>
          <w:rFonts w:eastAsia="Malgun Gothic" w:cs="Arial"/>
          <w:lang w:eastAsia="ko-KR"/>
        </w:rPr>
        <w:t>Tx switching shall not include Tx switching between Uu Tx and PC5 Tx.</w:t>
      </w:r>
      <w:r w:rsidR="00566528">
        <w:rPr>
          <w:rFonts w:eastAsia="Malgun Gothic" w:cs="Arial"/>
          <w:lang w:eastAsia="ko-KR"/>
        </w:rPr>
        <w:t xml:space="preserve"> </w:t>
      </w:r>
    </w:p>
    <w:p w:rsidR="00D14D88" w:rsidRDefault="00D14D88" w:rsidP="00D14D88">
      <w:pPr>
        <w:pStyle w:val="Observation"/>
        <w:rPr>
          <w:lang w:eastAsia="ko-KR"/>
        </w:rPr>
      </w:pPr>
      <w:bookmarkStart w:id="13" w:name="_Toc498451425"/>
      <w:bookmarkStart w:id="14" w:name="_Toc498457093"/>
      <w:bookmarkStart w:id="15" w:name="_Toc498457131"/>
      <w:bookmarkStart w:id="16" w:name="_Toc498458387"/>
      <w:bookmarkStart w:id="17" w:name="_Toc498458416"/>
      <w:bookmarkStart w:id="18" w:name="_Toc498464721"/>
      <w:bookmarkStart w:id="19" w:name="_Toc498465380"/>
      <w:bookmarkStart w:id="20" w:name="_Toc498522145"/>
      <w:bookmarkStart w:id="21" w:name="_Toc498522608"/>
      <w:bookmarkStart w:id="22" w:name="_Toc498760590"/>
      <w:bookmarkStart w:id="23" w:name="_Toc498760763"/>
      <w:r>
        <w:rPr>
          <w:lang w:eastAsia="ko-KR"/>
        </w:rPr>
        <w:t>Tx switching shall not include Tx switching between Uu Tx and PC5 Tx</w:t>
      </w:r>
      <w:bookmarkEnd w:id="13"/>
      <w:bookmarkEnd w:id="14"/>
      <w:bookmarkEnd w:id="15"/>
      <w:bookmarkEnd w:id="16"/>
      <w:bookmarkEnd w:id="17"/>
      <w:bookmarkEnd w:id="18"/>
      <w:bookmarkEnd w:id="19"/>
      <w:bookmarkEnd w:id="20"/>
      <w:bookmarkEnd w:id="21"/>
      <w:bookmarkEnd w:id="22"/>
      <w:bookmarkEnd w:id="23"/>
    </w:p>
    <w:p w:rsidR="0046234D" w:rsidRDefault="0046234D" w:rsidP="00961B4B">
      <w:pPr>
        <w:rPr>
          <w:rFonts w:eastAsia="Malgun Gothic" w:cs="Arial"/>
          <w:lang w:eastAsia="ko-KR"/>
        </w:rPr>
      </w:pPr>
    </w:p>
    <w:p w:rsidR="00566528" w:rsidRDefault="00566528" w:rsidP="00961B4B">
      <w:pPr>
        <w:rPr>
          <w:rFonts w:eastAsia="Malgun Gothic" w:cs="Arial"/>
          <w:lang w:eastAsia="ko-KR"/>
        </w:rPr>
      </w:pPr>
      <w:r>
        <w:rPr>
          <w:rFonts w:eastAsia="Malgun Gothic" w:cs="Arial"/>
          <w:lang w:eastAsia="ko-KR"/>
        </w:rPr>
        <w:t xml:space="preserve">In practical implementation, Uu Tx and PC5 Tx shall be independent implemented, and separate receive chains are assumed for V2X operation, thus, there is no any interruption to Uu link is expected from PC5 Tx switch. </w:t>
      </w:r>
    </w:p>
    <w:p w:rsidR="00566528" w:rsidRDefault="00566528" w:rsidP="00566528">
      <w:pPr>
        <w:pStyle w:val="Observation"/>
        <w:rPr>
          <w:lang w:eastAsia="ko-KR"/>
        </w:rPr>
      </w:pPr>
      <w:bookmarkStart w:id="24" w:name="_Toc498451426"/>
      <w:bookmarkStart w:id="25" w:name="_Toc498457094"/>
      <w:bookmarkStart w:id="26" w:name="_Toc498457132"/>
      <w:bookmarkStart w:id="27" w:name="_Toc498458388"/>
      <w:bookmarkStart w:id="28" w:name="_Toc498458417"/>
      <w:bookmarkStart w:id="29" w:name="_Toc498464722"/>
      <w:bookmarkStart w:id="30" w:name="_Toc498465381"/>
      <w:bookmarkStart w:id="31" w:name="_Toc498522146"/>
      <w:bookmarkStart w:id="32" w:name="_Toc498522609"/>
      <w:bookmarkStart w:id="33" w:name="_Toc498760591"/>
      <w:bookmarkStart w:id="34" w:name="_Toc498760764"/>
      <w:r>
        <w:rPr>
          <w:lang w:eastAsia="ko-KR"/>
        </w:rPr>
        <w:t>RAN1 can assume there is no any interruption to Uu link due to PC5 Tx switch</w:t>
      </w:r>
      <w:bookmarkEnd w:id="24"/>
      <w:bookmarkEnd w:id="25"/>
      <w:bookmarkEnd w:id="26"/>
      <w:bookmarkEnd w:id="27"/>
      <w:bookmarkEnd w:id="28"/>
      <w:bookmarkEnd w:id="29"/>
      <w:bookmarkEnd w:id="30"/>
      <w:bookmarkEnd w:id="31"/>
      <w:bookmarkEnd w:id="32"/>
      <w:bookmarkEnd w:id="33"/>
      <w:bookmarkEnd w:id="34"/>
    </w:p>
    <w:p w:rsidR="00A22D0D" w:rsidRDefault="00A22D0D" w:rsidP="00A22D0D">
      <w:pPr>
        <w:pStyle w:val="Observation"/>
        <w:numPr>
          <w:ilvl w:val="0"/>
          <w:numId w:val="0"/>
        </w:numPr>
        <w:rPr>
          <w:lang w:eastAsia="ko-KR"/>
        </w:rPr>
      </w:pPr>
    </w:p>
    <w:p w:rsidR="00537B87" w:rsidRDefault="00537B87" w:rsidP="00537B87">
      <w:r>
        <w:t>According to RAN1 agreements for SRS switching time, RAN4 have the following conclusion:</w:t>
      </w:r>
    </w:p>
    <w:p w:rsidR="00537B87" w:rsidRDefault="00537B87" w:rsidP="00537B87">
      <w:pPr>
        <w:spacing w:after="180"/>
        <w:rPr>
          <w:rFonts w:cs="Arial"/>
        </w:rPr>
      </w:pPr>
      <w:r>
        <w:rPr>
          <w:rFonts w:cs="Arial"/>
          <w:lang w:eastAsia="ja-JP"/>
        </w:rPr>
        <w:t xml:space="preserve">RAN4 </w:t>
      </w:r>
      <w:r>
        <w:rPr>
          <w:rFonts w:cs="Arial" w:hint="eastAsia"/>
        </w:rPr>
        <w:t xml:space="preserve">made some further agreements on the SRS switching time </w:t>
      </w:r>
      <w:r>
        <w:rPr>
          <w:rFonts w:cs="Arial"/>
        </w:rPr>
        <w:t>dependen</w:t>
      </w:r>
      <w:r>
        <w:rPr>
          <w:rFonts w:cs="Arial" w:hint="eastAsia"/>
        </w:rPr>
        <w:t>t</w:t>
      </w:r>
      <w:r>
        <w:rPr>
          <w:rFonts w:cs="Arial"/>
        </w:rPr>
        <w:t xml:space="preserve"> on the CA scenarios </w:t>
      </w:r>
      <w:r>
        <w:rPr>
          <w:rFonts w:cs="Arial" w:hint="eastAsia"/>
        </w:rPr>
        <w:t>and it may help to design the signalling of SRS switching time report.</w:t>
      </w:r>
    </w:p>
    <w:p w:rsidR="00537B87" w:rsidRDefault="00537B87" w:rsidP="00537B87">
      <w:pPr>
        <w:numPr>
          <w:ilvl w:val="0"/>
          <w:numId w:val="23"/>
        </w:numPr>
        <w:overflowPunct/>
        <w:autoSpaceDE/>
        <w:autoSpaceDN/>
        <w:adjustRightInd/>
        <w:spacing w:after="180"/>
        <w:textAlignment w:val="auto"/>
        <w:rPr>
          <w:rFonts w:cs="Arial"/>
        </w:rPr>
      </w:pPr>
      <w:r>
        <w:rPr>
          <w:rFonts w:cs="Arial" w:hint="eastAsia"/>
        </w:rPr>
        <w:t xml:space="preserve">For switching between </w:t>
      </w:r>
      <w:r w:rsidRPr="00754781">
        <w:rPr>
          <w:rFonts w:cs="Arial" w:hint="eastAsia"/>
        </w:rPr>
        <w:t>carriers/aggregated carriers</w:t>
      </w:r>
      <w:r>
        <w:rPr>
          <w:rFonts w:cs="Arial" w:hint="eastAsia"/>
        </w:rPr>
        <w:t xml:space="preserve"> in the same band for a specific band, only single value is needed to be reported with the candidate values of 0us, 30us, 100us and 200us depending on UE capability. </w:t>
      </w:r>
    </w:p>
    <w:p w:rsidR="00537B87" w:rsidRDefault="00537B87" w:rsidP="00537B87">
      <w:pPr>
        <w:numPr>
          <w:ilvl w:val="0"/>
          <w:numId w:val="23"/>
        </w:numPr>
        <w:overflowPunct/>
        <w:autoSpaceDE/>
        <w:autoSpaceDN/>
        <w:adjustRightInd/>
        <w:spacing w:after="180"/>
        <w:textAlignment w:val="auto"/>
        <w:rPr>
          <w:rFonts w:cs="Arial"/>
        </w:rPr>
      </w:pPr>
      <w:r>
        <w:rPr>
          <w:rFonts w:cs="Arial" w:hint="eastAsia"/>
        </w:rPr>
        <w:t xml:space="preserve">For switching between </w:t>
      </w:r>
      <w:r w:rsidRPr="00754781">
        <w:rPr>
          <w:rFonts w:cs="Arial" w:hint="eastAsia"/>
        </w:rPr>
        <w:t>carriers/aggregated carriers</w:t>
      </w:r>
      <w:r>
        <w:rPr>
          <w:rFonts w:cs="Arial" w:hint="eastAsia"/>
        </w:rPr>
        <w:t xml:space="preserve"> in different bands </w:t>
      </w:r>
      <w:r w:rsidRPr="00CF0CA1">
        <w:rPr>
          <w:rFonts w:cs="Arial" w:hint="eastAsia"/>
        </w:rPr>
        <w:t>when the switching-to band is not transmitting</w:t>
      </w:r>
      <w:r>
        <w:rPr>
          <w:rFonts w:cs="Arial" w:hint="eastAsia"/>
        </w:rPr>
        <w:t xml:space="preserve"> for a specific band pair, only single value is needed to be reported with the candidate values of </w:t>
      </w:r>
      <w:r w:rsidRPr="00754781">
        <w:rPr>
          <w:rFonts w:cs="Arial" w:hint="eastAsia"/>
        </w:rPr>
        <w:t>0us, 30us, 100us, 200us, 300us, 500us</w:t>
      </w:r>
      <w:r>
        <w:rPr>
          <w:rFonts w:cs="Arial" w:hint="eastAsia"/>
        </w:rPr>
        <w:t xml:space="preserve"> and 900us</w:t>
      </w:r>
      <w:r w:rsidRPr="00594B89">
        <w:rPr>
          <w:rFonts w:cs="Arial" w:hint="eastAsia"/>
        </w:rPr>
        <w:t xml:space="preserve"> </w:t>
      </w:r>
      <w:r>
        <w:rPr>
          <w:rFonts w:cs="Arial" w:hint="eastAsia"/>
        </w:rPr>
        <w:t>depending on UE capability.</w:t>
      </w:r>
    </w:p>
    <w:p w:rsidR="006B7300" w:rsidRPr="000E02F1" w:rsidRDefault="006B7300" w:rsidP="006B7300">
      <w:pPr>
        <w:overflowPunct/>
        <w:autoSpaceDE/>
        <w:autoSpaceDN/>
        <w:adjustRightInd/>
        <w:spacing w:after="180"/>
        <w:textAlignment w:val="auto"/>
        <w:rPr>
          <w:rFonts w:cs="Arial"/>
        </w:rPr>
      </w:pPr>
      <w:r>
        <w:rPr>
          <w:rFonts w:cs="Arial"/>
        </w:rPr>
        <w:lastRenderedPageBreak/>
        <w:t xml:space="preserve">The TX switching for PC5 is very similar to SRS switching time, thus, we can use SRS switching as a reference for PC5. Since only intra-band PC5 is considered, thus, at </w:t>
      </w:r>
      <w:r w:rsidR="00B26555">
        <w:rPr>
          <w:rFonts w:cs="Arial"/>
        </w:rPr>
        <w:t xml:space="preserve">most 200 us can be considered for TX switching for PC5. </w:t>
      </w:r>
    </w:p>
    <w:p w:rsidR="00566528" w:rsidRDefault="00EA210A" w:rsidP="00EA210A">
      <w:pPr>
        <w:pStyle w:val="Observation"/>
      </w:pPr>
      <w:bookmarkStart w:id="35" w:name="_Toc498457096"/>
      <w:bookmarkStart w:id="36" w:name="_Toc498457133"/>
      <w:bookmarkStart w:id="37" w:name="_Toc498458389"/>
      <w:bookmarkStart w:id="38" w:name="_Toc498458418"/>
      <w:bookmarkStart w:id="39" w:name="_Toc498464723"/>
      <w:bookmarkStart w:id="40" w:name="_Toc498465382"/>
      <w:bookmarkStart w:id="41" w:name="_Toc498522147"/>
      <w:bookmarkStart w:id="42" w:name="_Toc498522610"/>
      <w:bookmarkStart w:id="43" w:name="_Toc498760592"/>
      <w:bookmarkStart w:id="44" w:name="_Toc498760765"/>
      <w:r>
        <w:t xml:space="preserve">At most </w:t>
      </w:r>
      <w:r w:rsidR="00114529">
        <w:t>200 us</w:t>
      </w:r>
      <w:r>
        <w:t xml:space="preserve"> can be considered for TX switching</w:t>
      </w:r>
      <w:bookmarkEnd w:id="35"/>
      <w:bookmarkEnd w:id="36"/>
      <w:r w:rsidR="00114529">
        <w:t xml:space="preserve"> for PC5</w:t>
      </w:r>
      <w:bookmarkEnd w:id="37"/>
      <w:bookmarkEnd w:id="38"/>
      <w:bookmarkEnd w:id="39"/>
      <w:bookmarkEnd w:id="40"/>
      <w:r w:rsidR="00A313A7">
        <w:t xml:space="preserve"> </w:t>
      </w:r>
      <w:r w:rsidR="00B02E15">
        <w:t>if intra-band CA is assumed.</w:t>
      </w:r>
      <w:bookmarkEnd w:id="41"/>
      <w:bookmarkEnd w:id="42"/>
      <w:bookmarkEnd w:id="43"/>
      <w:bookmarkEnd w:id="44"/>
      <w:r w:rsidR="00B02E15">
        <w:t xml:space="preserve"> </w:t>
      </w:r>
    </w:p>
    <w:p w:rsidR="008B4F7E" w:rsidRDefault="008B4F7E" w:rsidP="008B4F7E">
      <w:pPr>
        <w:pStyle w:val="Observation"/>
        <w:numPr>
          <w:ilvl w:val="0"/>
          <w:numId w:val="0"/>
        </w:numPr>
      </w:pPr>
    </w:p>
    <w:p w:rsidR="008B4F7E" w:rsidRDefault="008B4F7E" w:rsidP="008B4F7E">
      <w:pPr>
        <w:pStyle w:val="Heading1"/>
      </w:pPr>
      <w:r>
        <w:t>Tx switching impact on the RX interruption</w:t>
      </w:r>
    </w:p>
    <w:p w:rsidR="008654F4" w:rsidRDefault="008654F4" w:rsidP="008B4F7E">
      <w:r>
        <w:t xml:space="preserve">According to RAN4 discussion, in Uu link, simultaneous Rx and TX is only applicable for inter-band, and the capability is also UE specific. For the same band, </w:t>
      </w:r>
      <w:r w:rsidR="00AA2A41">
        <w:t xml:space="preserve">for the current defined RAN4 UE, it </w:t>
      </w:r>
      <w:r>
        <w:t xml:space="preserve">is assumed not to </w:t>
      </w:r>
      <w:r w:rsidR="00995589">
        <w:t>support simult</w:t>
      </w:r>
      <w:r w:rsidR="00E25498">
        <w:t>aneous Rx and TX, since there are</w:t>
      </w:r>
      <w:r w:rsidR="00995589">
        <w:t xml:space="preserve"> </w:t>
      </w:r>
      <w:r w:rsidR="00995589" w:rsidRPr="00995589">
        <w:t>no duplex filters within the band</w:t>
      </w:r>
      <w:r w:rsidR="00AA2A41">
        <w:t xml:space="preserve">. More study is needed for PC5 if simultaneous Rx and TX is required to be supported. </w:t>
      </w:r>
    </w:p>
    <w:p w:rsidR="008654F4" w:rsidRDefault="008654F4" w:rsidP="00244A95">
      <w:pPr>
        <w:pStyle w:val="Observation"/>
        <w:numPr>
          <w:ilvl w:val="0"/>
          <w:numId w:val="0"/>
        </w:numPr>
        <w:ind w:left="360" w:hanging="360"/>
      </w:pPr>
    </w:p>
    <w:p w:rsidR="00C01F33" w:rsidRPr="00CE0424" w:rsidRDefault="00C01F33" w:rsidP="00CE0424">
      <w:pPr>
        <w:pStyle w:val="Heading1"/>
      </w:pPr>
      <w:r w:rsidRPr="00CE0424">
        <w:t>Conclusion</w:t>
      </w:r>
    </w:p>
    <w:p w:rsidR="00AA2A41" w:rsidRDefault="00677D69" w:rsidP="002278A0">
      <w:pPr>
        <w:pStyle w:val="BodyText"/>
        <w:rPr>
          <w:noProof/>
        </w:rPr>
      </w:pPr>
      <w:r>
        <w:t>In this contribution, we discussed the RAN1 LS about the TX switch time, we have the following observations:</w:t>
      </w:r>
      <w:r w:rsidR="002278A0">
        <w:rPr>
          <w:b/>
          <w:bCs/>
        </w:rPr>
        <w:fldChar w:fldCharType="begin"/>
      </w:r>
      <w:r w:rsidR="002278A0">
        <w:rPr>
          <w:b/>
          <w:bCs/>
        </w:rPr>
        <w:instrText xml:space="preserve"> TOC \f \n \p " " \t "Observation,1" </w:instrText>
      </w:r>
      <w:r w:rsidR="002278A0">
        <w:rPr>
          <w:b/>
          <w:bCs/>
        </w:rPr>
        <w:fldChar w:fldCharType="separate"/>
      </w:r>
    </w:p>
    <w:p w:rsidR="00AA2A41" w:rsidRDefault="00AA2A41">
      <w:pPr>
        <w:pStyle w:val="TOC1"/>
        <w:rPr>
          <w:rFonts w:asciiTheme="minorHAnsi" w:hAnsiTheme="minorHAnsi" w:cstheme="minorBidi"/>
          <w:b w:val="0"/>
          <w:sz w:val="22"/>
        </w:rPr>
      </w:pPr>
      <w:r>
        <w:t>Observation 1</w:t>
      </w:r>
      <w:r>
        <w:rPr>
          <w:rFonts w:asciiTheme="minorHAnsi" w:hAnsiTheme="minorHAnsi" w:cstheme="minorBidi"/>
          <w:b w:val="0"/>
          <w:sz w:val="22"/>
        </w:rPr>
        <w:tab/>
      </w:r>
      <w:r>
        <w:t>In RAN4, only intra-band PC5 is discussed</w:t>
      </w:r>
    </w:p>
    <w:p w:rsidR="00AA2A41" w:rsidRDefault="00AA2A41">
      <w:pPr>
        <w:pStyle w:val="TOC1"/>
        <w:rPr>
          <w:rFonts w:asciiTheme="minorHAnsi" w:hAnsiTheme="minorHAnsi" w:cstheme="minorBidi"/>
          <w:b w:val="0"/>
          <w:sz w:val="22"/>
        </w:rPr>
      </w:pPr>
      <w:r>
        <w:rPr>
          <w:lang w:eastAsia="ko-KR"/>
        </w:rPr>
        <w:t>Observation 2</w:t>
      </w:r>
      <w:r>
        <w:rPr>
          <w:rFonts w:asciiTheme="minorHAnsi" w:hAnsiTheme="minorHAnsi" w:cstheme="minorBidi"/>
          <w:b w:val="0"/>
          <w:sz w:val="22"/>
        </w:rPr>
        <w:tab/>
      </w:r>
      <w:r>
        <w:rPr>
          <w:lang w:eastAsia="ko-KR"/>
        </w:rPr>
        <w:t>Tx switching shall not include Tx switching between Uu Tx and PC5 Tx</w:t>
      </w:r>
    </w:p>
    <w:p w:rsidR="00AA2A41" w:rsidRDefault="00AA2A41">
      <w:pPr>
        <w:pStyle w:val="TOC1"/>
        <w:rPr>
          <w:rFonts w:asciiTheme="minorHAnsi" w:hAnsiTheme="minorHAnsi" w:cstheme="minorBidi"/>
          <w:b w:val="0"/>
          <w:sz w:val="22"/>
        </w:rPr>
      </w:pPr>
      <w:r>
        <w:rPr>
          <w:lang w:eastAsia="ko-KR"/>
        </w:rPr>
        <w:t>Observation 3</w:t>
      </w:r>
      <w:r>
        <w:rPr>
          <w:rFonts w:asciiTheme="minorHAnsi" w:hAnsiTheme="minorHAnsi" w:cstheme="minorBidi"/>
          <w:b w:val="0"/>
          <w:sz w:val="22"/>
        </w:rPr>
        <w:tab/>
      </w:r>
      <w:r>
        <w:rPr>
          <w:lang w:eastAsia="ko-KR"/>
        </w:rPr>
        <w:t>RAN1 can assume there is no any interruption to Uu link due to PC5 Tx switch</w:t>
      </w:r>
    </w:p>
    <w:p w:rsidR="00AA2A41" w:rsidRDefault="00AA2A41" w:rsidP="00F303EA">
      <w:pPr>
        <w:pStyle w:val="TOC1"/>
        <w:jc w:val="both"/>
        <w:rPr>
          <w:rFonts w:asciiTheme="minorHAnsi" w:hAnsiTheme="minorHAnsi" w:cstheme="minorBidi"/>
          <w:b w:val="0"/>
          <w:sz w:val="22"/>
        </w:rPr>
      </w:pPr>
      <w:r>
        <w:t>Observation 4</w:t>
      </w:r>
      <w:r>
        <w:rPr>
          <w:rFonts w:asciiTheme="minorHAnsi" w:hAnsiTheme="minorHAnsi" w:cstheme="minorBidi"/>
          <w:b w:val="0"/>
          <w:sz w:val="22"/>
        </w:rPr>
        <w:tab/>
      </w:r>
      <w:r>
        <w:t>At most 200 us can be considered for TX switching for PC5 if intra-band CA is assumed.</w:t>
      </w:r>
    </w:p>
    <w:p w:rsidR="008E065E" w:rsidRDefault="002278A0" w:rsidP="002278A0">
      <w:pPr>
        <w:pStyle w:val="BodyText"/>
        <w:rPr>
          <w:b/>
          <w:bCs/>
        </w:rPr>
      </w:pPr>
      <w:r>
        <w:rPr>
          <w:b/>
          <w:bCs/>
        </w:rPr>
        <w:fldChar w:fldCharType="end"/>
      </w:r>
    </w:p>
    <w:p w:rsidR="00F507D1" w:rsidRPr="00CE0424" w:rsidRDefault="00F507D1" w:rsidP="00CE0424">
      <w:pPr>
        <w:pStyle w:val="Heading1"/>
      </w:pPr>
      <w:bookmarkStart w:id="45" w:name="_In-sequence_SDU_delivery"/>
      <w:bookmarkEnd w:id="45"/>
      <w:r w:rsidRPr="00CE0424">
        <w:t>References</w:t>
      </w:r>
    </w:p>
    <w:p w:rsidR="00B02772" w:rsidRDefault="00B02772" w:rsidP="00B02772">
      <w:pPr>
        <w:pStyle w:val="Reference"/>
      </w:pPr>
      <w:bookmarkStart w:id="46" w:name="_Ref498447294"/>
      <w:bookmarkStart w:id="47" w:name="_Ref174151459"/>
      <w:bookmarkStart w:id="48" w:name="_Ref189809556"/>
      <w:r w:rsidRPr="00B02772">
        <w:t>R1-1719159</w:t>
      </w:r>
      <w:r>
        <w:t xml:space="preserve">, </w:t>
      </w:r>
      <w:r w:rsidRPr="00B339F9">
        <w:t xml:space="preserve">LS </w:t>
      </w:r>
      <w:r>
        <w:t xml:space="preserve">to RAN4 </w:t>
      </w:r>
      <w:r w:rsidRPr="00B339F9">
        <w:t xml:space="preserve">on </w:t>
      </w:r>
      <w:r>
        <w:t>resource selection</w:t>
      </w:r>
      <w:r w:rsidRPr="00D03E95">
        <w:t xml:space="preserve"> </w:t>
      </w:r>
      <w:r>
        <w:t>for Mode-4 sidelink CA, Intel, RAN1#90bis, 2017.</w:t>
      </w:r>
    </w:p>
    <w:p w:rsidR="004A6CEE" w:rsidRDefault="004A6CEE" w:rsidP="004A6CEE">
      <w:pPr>
        <w:pStyle w:val="Reference"/>
      </w:pPr>
      <w:r w:rsidRPr="004A6CEE">
        <w:t>R4-167660</w:t>
      </w:r>
      <w:r>
        <w:t xml:space="preserve">, </w:t>
      </w:r>
    </w:p>
    <w:p w:rsidR="005F3025" w:rsidRPr="00CE0424" w:rsidRDefault="0038041A" w:rsidP="0038041A">
      <w:pPr>
        <w:pStyle w:val="Reference"/>
      </w:pPr>
      <w:r w:rsidRPr="00C44812">
        <w:t>R4-145512</w:t>
      </w:r>
      <w:r w:rsidR="005F3025" w:rsidRPr="00CE0424">
        <w:t>,</w:t>
      </w:r>
      <w:r>
        <w:t xml:space="preserve"> </w:t>
      </w:r>
      <w:r w:rsidRPr="00A535C1">
        <w:rPr>
          <w:rFonts w:cs="Arial"/>
        </w:rPr>
        <w:t>Reply LS on D2D Multicarrier capabilities</w:t>
      </w:r>
      <w:r w:rsidR="005F3025" w:rsidRPr="00CE0424">
        <w:t xml:space="preserve">, </w:t>
      </w:r>
      <w:r>
        <w:t>Qualcomm, Ericsson, LGE</w:t>
      </w:r>
      <w:r w:rsidR="005F3025" w:rsidRPr="00CE0424">
        <w:t xml:space="preserve">, </w:t>
      </w:r>
      <w:r>
        <w:t>RAN4#72</w:t>
      </w:r>
      <w:r w:rsidR="005F3025" w:rsidRPr="00CE0424">
        <w:t xml:space="preserve">, </w:t>
      </w:r>
      <w:r>
        <w:t>Aug 18</w:t>
      </w:r>
      <w:r w:rsidRPr="0038041A">
        <w:rPr>
          <w:vertAlign w:val="superscript"/>
        </w:rPr>
        <w:t>th</w:t>
      </w:r>
      <w:r>
        <w:t>~</w:t>
      </w:r>
      <w:r w:rsidRPr="0038041A">
        <w:t xml:space="preserve"> Aug 22nd, 2014</w:t>
      </w:r>
      <w:bookmarkEnd w:id="46"/>
    </w:p>
    <w:p w:rsidR="005F3025" w:rsidRPr="00CE0424" w:rsidRDefault="000121B8" w:rsidP="00311702">
      <w:pPr>
        <w:pStyle w:val="Reference"/>
      </w:pPr>
      <w:bookmarkStart w:id="49" w:name="_Ref498448437"/>
      <w:r w:rsidRPr="00C7234C">
        <w:t>RP-141894</w:t>
      </w:r>
      <w:r>
        <w:t xml:space="preserve">, Status report for LTE D2D </w:t>
      </w:r>
      <w:r w:rsidRPr="00AF0B9D">
        <w:rPr>
          <w:rFonts w:cs="Arial"/>
          <w:lang w:eastAsia="en-GB"/>
        </w:rPr>
        <w:t>Proximity Services</w:t>
      </w:r>
      <w:r w:rsidR="005F3025" w:rsidRPr="00CE0424">
        <w:t xml:space="preserve">, </w:t>
      </w:r>
      <w:r>
        <w:t>Qualcomm</w:t>
      </w:r>
      <w:r w:rsidR="005F3025" w:rsidRPr="00CE0424">
        <w:t xml:space="preserve">, </w:t>
      </w:r>
      <w:r w:rsidR="00F2684D">
        <w:t>8</w:t>
      </w:r>
      <w:r w:rsidR="00F2684D" w:rsidRPr="00F2684D">
        <w:rPr>
          <w:vertAlign w:val="superscript"/>
        </w:rPr>
        <w:t>th</w:t>
      </w:r>
      <w:r w:rsidR="00F2684D">
        <w:t>~11</w:t>
      </w:r>
      <w:r w:rsidR="00F2684D" w:rsidRPr="00F2684D">
        <w:rPr>
          <w:vertAlign w:val="superscript"/>
        </w:rPr>
        <w:t>th</w:t>
      </w:r>
      <w:r w:rsidR="00F2684D">
        <w:t xml:space="preserve">, </w:t>
      </w:r>
      <w:r w:rsidR="006C2A4D">
        <w:t xml:space="preserve">December, </w:t>
      </w:r>
      <w:r>
        <w:t>2014</w:t>
      </w:r>
      <w:bookmarkEnd w:id="49"/>
    </w:p>
    <w:bookmarkEnd w:id="47"/>
    <w:bookmarkEnd w:id="48"/>
    <w:p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3E3" w:rsidRDefault="00A273E3">
      <w:r>
        <w:separator/>
      </w:r>
    </w:p>
  </w:endnote>
  <w:endnote w:type="continuationSeparator" w:id="0">
    <w:p w:rsidR="00A273E3" w:rsidRDefault="00A2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1AA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1AA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3E3" w:rsidRDefault="00A273E3">
      <w:r>
        <w:separator/>
      </w:r>
    </w:p>
  </w:footnote>
  <w:footnote w:type="continuationSeparator" w:id="0">
    <w:p w:rsidR="00A273E3" w:rsidRDefault="00A27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164418"/>
    <w:multiLevelType w:val="hybridMultilevel"/>
    <w:tmpl w:val="27D4717A"/>
    <w:lvl w:ilvl="0" w:tplc="3954B228">
      <w:start w:val="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AA14D1"/>
    <w:multiLevelType w:val="hybridMultilevel"/>
    <w:tmpl w:val="A2D40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BF2261E"/>
    <w:multiLevelType w:val="hybridMultilevel"/>
    <w:tmpl w:val="0D72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56563"/>
    <w:multiLevelType w:val="hybridMultilevel"/>
    <w:tmpl w:val="C8A0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791EA8"/>
    <w:multiLevelType w:val="hybridMultilevel"/>
    <w:tmpl w:val="77F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763E0"/>
    <w:multiLevelType w:val="hybridMultilevel"/>
    <w:tmpl w:val="C2A23A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6B11B0"/>
    <w:multiLevelType w:val="hybridMultilevel"/>
    <w:tmpl w:val="8760E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B004B4"/>
    <w:multiLevelType w:val="hybridMultilevel"/>
    <w:tmpl w:val="47CCD54A"/>
    <w:lvl w:ilvl="0" w:tplc="8312E690">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6"/>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15"/>
  </w:num>
  <w:num w:numId="15">
    <w:abstractNumId w:val="4"/>
  </w:num>
  <w:num w:numId="16">
    <w:abstractNumId w:val="5"/>
  </w:num>
  <w:num w:numId="17">
    <w:abstractNumId w:val="19"/>
  </w:num>
  <w:num w:numId="18">
    <w:abstractNumId w:val="7"/>
  </w:num>
  <w:num w:numId="19">
    <w:abstractNumId w:val="4"/>
  </w:num>
  <w:num w:numId="20">
    <w:abstractNumId w:val="12"/>
  </w:num>
  <w:num w:numId="21">
    <w:abstractNumId w:val="14"/>
  </w:num>
  <w:num w:numId="22">
    <w:abstractNumId w:val="17"/>
  </w:num>
  <w:num w:numId="23">
    <w:abstractNumId w:val="20"/>
  </w:num>
  <w:num w:numId="2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1FD"/>
    <w:rsid w:val="000006E1"/>
    <w:rsid w:val="00002A37"/>
    <w:rsid w:val="00006446"/>
    <w:rsid w:val="00006896"/>
    <w:rsid w:val="00006B58"/>
    <w:rsid w:val="00007CDC"/>
    <w:rsid w:val="00011B28"/>
    <w:rsid w:val="000121B8"/>
    <w:rsid w:val="00015D15"/>
    <w:rsid w:val="0002564D"/>
    <w:rsid w:val="00025ECA"/>
    <w:rsid w:val="00027939"/>
    <w:rsid w:val="000325B8"/>
    <w:rsid w:val="000347F3"/>
    <w:rsid w:val="00034C15"/>
    <w:rsid w:val="00036BA1"/>
    <w:rsid w:val="000422E2"/>
    <w:rsid w:val="00042F22"/>
    <w:rsid w:val="000444E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679"/>
    <w:rsid w:val="000F06D6"/>
    <w:rsid w:val="000F0EB1"/>
    <w:rsid w:val="000F1106"/>
    <w:rsid w:val="000F3BE9"/>
    <w:rsid w:val="000F3F6C"/>
    <w:rsid w:val="000F6DF3"/>
    <w:rsid w:val="001005FF"/>
    <w:rsid w:val="001062FB"/>
    <w:rsid w:val="001063E6"/>
    <w:rsid w:val="0010689C"/>
    <w:rsid w:val="00113CF4"/>
    <w:rsid w:val="00114529"/>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AB5"/>
    <w:rsid w:val="00137F0B"/>
    <w:rsid w:val="00151E23"/>
    <w:rsid w:val="001526E0"/>
    <w:rsid w:val="00153B28"/>
    <w:rsid w:val="00154D61"/>
    <w:rsid w:val="001551B5"/>
    <w:rsid w:val="001560B4"/>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7CA5"/>
    <w:rsid w:val="001E58E2"/>
    <w:rsid w:val="001E5CF1"/>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4A95"/>
    <w:rsid w:val="002458EB"/>
    <w:rsid w:val="002500C8"/>
    <w:rsid w:val="00250223"/>
    <w:rsid w:val="00254B17"/>
    <w:rsid w:val="00257543"/>
    <w:rsid w:val="002606D0"/>
    <w:rsid w:val="002617E7"/>
    <w:rsid w:val="00261FC8"/>
    <w:rsid w:val="00264228"/>
    <w:rsid w:val="00264334"/>
    <w:rsid w:val="0026473E"/>
    <w:rsid w:val="00266214"/>
    <w:rsid w:val="00267C83"/>
    <w:rsid w:val="0027144F"/>
    <w:rsid w:val="00271F3A"/>
    <w:rsid w:val="00273278"/>
    <w:rsid w:val="002737F4"/>
    <w:rsid w:val="00275065"/>
    <w:rsid w:val="002805F5"/>
    <w:rsid w:val="00280751"/>
    <w:rsid w:val="0028280A"/>
    <w:rsid w:val="00286ACD"/>
    <w:rsid w:val="00287838"/>
    <w:rsid w:val="002907B5"/>
    <w:rsid w:val="00292EB7"/>
    <w:rsid w:val="00296227"/>
    <w:rsid w:val="0029669D"/>
    <w:rsid w:val="00296F44"/>
    <w:rsid w:val="0029777D"/>
    <w:rsid w:val="002A055E"/>
    <w:rsid w:val="002A1D4E"/>
    <w:rsid w:val="002A2869"/>
    <w:rsid w:val="002A349B"/>
    <w:rsid w:val="002B24D6"/>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2779F"/>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5673"/>
    <w:rsid w:val="00377CE1"/>
    <w:rsid w:val="0038041A"/>
    <w:rsid w:val="00381AA0"/>
    <w:rsid w:val="00385BF0"/>
    <w:rsid w:val="003939FF"/>
    <w:rsid w:val="003A2223"/>
    <w:rsid w:val="003A2A0F"/>
    <w:rsid w:val="003A45A1"/>
    <w:rsid w:val="003A5B0A"/>
    <w:rsid w:val="003A6BAC"/>
    <w:rsid w:val="003A7EF3"/>
    <w:rsid w:val="003B159C"/>
    <w:rsid w:val="003B369F"/>
    <w:rsid w:val="003B36A3"/>
    <w:rsid w:val="003B618D"/>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40F3"/>
    <w:rsid w:val="003F44C0"/>
    <w:rsid w:val="003F6BBE"/>
    <w:rsid w:val="004000E8"/>
    <w:rsid w:val="00402E2B"/>
    <w:rsid w:val="0040512B"/>
    <w:rsid w:val="00405CA5"/>
    <w:rsid w:val="00407CD3"/>
    <w:rsid w:val="00410134"/>
    <w:rsid w:val="00410B72"/>
    <w:rsid w:val="00410F18"/>
    <w:rsid w:val="0041263E"/>
    <w:rsid w:val="00413AAC"/>
    <w:rsid w:val="00413EFD"/>
    <w:rsid w:val="00420EB6"/>
    <w:rsid w:val="00421105"/>
    <w:rsid w:val="004242F4"/>
    <w:rsid w:val="00427248"/>
    <w:rsid w:val="00433000"/>
    <w:rsid w:val="004344B4"/>
    <w:rsid w:val="00437447"/>
    <w:rsid w:val="0044155C"/>
    <w:rsid w:val="00441A92"/>
    <w:rsid w:val="00444F56"/>
    <w:rsid w:val="00446488"/>
    <w:rsid w:val="004517AA"/>
    <w:rsid w:val="00452CAC"/>
    <w:rsid w:val="00457565"/>
    <w:rsid w:val="00457B71"/>
    <w:rsid w:val="0046234D"/>
    <w:rsid w:val="00465F3A"/>
    <w:rsid w:val="004669E2"/>
    <w:rsid w:val="00466E32"/>
    <w:rsid w:val="00470C31"/>
    <w:rsid w:val="004734D0"/>
    <w:rsid w:val="0047556B"/>
    <w:rsid w:val="004755D0"/>
    <w:rsid w:val="00477768"/>
    <w:rsid w:val="004822E7"/>
    <w:rsid w:val="00492BC5"/>
    <w:rsid w:val="004964F1"/>
    <w:rsid w:val="004A16BC"/>
    <w:rsid w:val="004A2B94"/>
    <w:rsid w:val="004A6CEE"/>
    <w:rsid w:val="004B5C66"/>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4B59"/>
    <w:rsid w:val="00536759"/>
    <w:rsid w:val="00537B87"/>
    <w:rsid w:val="00537C62"/>
    <w:rsid w:val="00546970"/>
    <w:rsid w:val="005479F6"/>
    <w:rsid w:val="0055044F"/>
    <w:rsid w:val="00554E19"/>
    <w:rsid w:val="0056121F"/>
    <w:rsid w:val="00566528"/>
    <w:rsid w:val="00572505"/>
    <w:rsid w:val="005753D6"/>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2DF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A6E"/>
    <w:rsid w:val="00675C72"/>
    <w:rsid w:val="006771F9"/>
    <w:rsid w:val="006776D7"/>
    <w:rsid w:val="00677D69"/>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B7300"/>
    <w:rsid w:val="006C03B8"/>
    <w:rsid w:val="006C2A4D"/>
    <w:rsid w:val="006C5EC9"/>
    <w:rsid w:val="006C6059"/>
    <w:rsid w:val="006C6FC3"/>
    <w:rsid w:val="006C7522"/>
    <w:rsid w:val="006D6F08"/>
    <w:rsid w:val="006E062C"/>
    <w:rsid w:val="006E1A62"/>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4B1"/>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54F4"/>
    <w:rsid w:val="008677FD"/>
    <w:rsid w:val="008706D4"/>
    <w:rsid w:val="00870F8A"/>
    <w:rsid w:val="008719A4"/>
    <w:rsid w:val="00871D23"/>
    <w:rsid w:val="00874312"/>
    <w:rsid w:val="0087437C"/>
    <w:rsid w:val="00875CD7"/>
    <w:rsid w:val="00876B4D"/>
    <w:rsid w:val="00877F18"/>
    <w:rsid w:val="00882533"/>
    <w:rsid w:val="00894A88"/>
    <w:rsid w:val="00895386"/>
    <w:rsid w:val="008A21FF"/>
    <w:rsid w:val="008A2CE2"/>
    <w:rsid w:val="008A30AC"/>
    <w:rsid w:val="008A44B8"/>
    <w:rsid w:val="008A4C41"/>
    <w:rsid w:val="008A51A8"/>
    <w:rsid w:val="008A54C7"/>
    <w:rsid w:val="008A77D8"/>
    <w:rsid w:val="008B0483"/>
    <w:rsid w:val="008B120C"/>
    <w:rsid w:val="008B4F7E"/>
    <w:rsid w:val="008B51A0"/>
    <w:rsid w:val="008B5597"/>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25E27"/>
    <w:rsid w:val="00931BD9"/>
    <w:rsid w:val="009368F3"/>
    <w:rsid w:val="00941636"/>
    <w:rsid w:val="00943742"/>
    <w:rsid w:val="00945C05"/>
    <w:rsid w:val="00946945"/>
    <w:rsid w:val="00947713"/>
    <w:rsid w:val="00950DE7"/>
    <w:rsid w:val="00953920"/>
    <w:rsid w:val="00953D47"/>
    <w:rsid w:val="0095681E"/>
    <w:rsid w:val="009572D4"/>
    <w:rsid w:val="00961921"/>
    <w:rsid w:val="00961B4B"/>
    <w:rsid w:val="009631E9"/>
    <w:rsid w:val="0096430A"/>
    <w:rsid w:val="00964ED1"/>
    <w:rsid w:val="0096554B"/>
    <w:rsid w:val="0096584A"/>
    <w:rsid w:val="00971F08"/>
    <w:rsid w:val="0097603D"/>
    <w:rsid w:val="00976949"/>
    <w:rsid w:val="00980477"/>
    <w:rsid w:val="00985253"/>
    <w:rsid w:val="009853B3"/>
    <w:rsid w:val="00990630"/>
    <w:rsid w:val="00991761"/>
    <w:rsid w:val="00994DCA"/>
    <w:rsid w:val="00995589"/>
    <w:rsid w:val="009960EC"/>
    <w:rsid w:val="009970DD"/>
    <w:rsid w:val="009A0855"/>
    <w:rsid w:val="009A0FBA"/>
    <w:rsid w:val="009A1601"/>
    <w:rsid w:val="009A462D"/>
    <w:rsid w:val="009A5CBA"/>
    <w:rsid w:val="009A7831"/>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4EDC"/>
    <w:rsid w:val="00A048A8"/>
    <w:rsid w:val="00A04F49"/>
    <w:rsid w:val="00A13E54"/>
    <w:rsid w:val="00A17F63"/>
    <w:rsid w:val="00A2193B"/>
    <w:rsid w:val="00A22D0D"/>
    <w:rsid w:val="00A2351A"/>
    <w:rsid w:val="00A264A9"/>
    <w:rsid w:val="00A273E3"/>
    <w:rsid w:val="00A27785"/>
    <w:rsid w:val="00A27BA3"/>
    <w:rsid w:val="00A30187"/>
    <w:rsid w:val="00A313A7"/>
    <w:rsid w:val="00A3448A"/>
    <w:rsid w:val="00A36297"/>
    <w:rsid w:val="00A37252"/>
    <w:rsid w:val="00A41E2B"/>
    <w:rsid w:val="00A45B74"/>
    <w:rsid w:val="00A52E1D"/>
    <w:rsid w:val="00A61499"/>
    <w:rsid w:val="00A62A77"/>
    <w:rsid w:val="00A63483"/>
    <w:rsid w:val="00A657D7"/>
    <w:rsid w:val="00A660AC"/>
    <w:rsid w:val="00A67E6C"/>
    <w:rsid w:val="00A71669"/>
    <w:rsid w:val="00A71B99"/>
    <w:rsid w:val="00A739D0"/>
    <w:rsid w:val="00A761D4"/>
    <w:rsid w:val="00A77EC4"/>
    <w:rsid w:val="00A92879"/>
    <w:rsid w:val="00A9326B"/>
    <w:rsid w:val="00A9442A"/>
    <w:rsid w:val="00AA016F"/>
    <w:rsid w:val="00AA1ED6"/>
    <w:rsid w:val="00AA2A41"/>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1FD"/>
    <w:rsid w:val="00AF5609"/>
    <w:rsid w:val="00B006FE"/>
    <w:rsid w:val="00B007CB"/>
    <w:rsid w:val="00B02772"/>
    <w:rsid w:val="00B02AA9"/>
    <w:rsid w:val="00B02E15"/>
    <w:rsid w:val="00B02FA3"/>
    <w:rsid w:val="00B05084"/>
    <w:rsid w:val="00B157F9"/>
    <w:rsid w:val="00B167F1"/>
    <w:rsid w:val="00B20256"/>
    <w:rsid w:val="00B20D09"/>
    <w:rsid w:val="00B21BA0"/>
    <w:rsid w:val="00B26555"/>
    <w:rsid w:val="00B2763F"/>
    <w:rsid w:val="00B27AAC"/>
    <w:rsid w:val="00B27E53"/>
    <w:rsid w:val="00B30929"/>
    <w:rsid w:val="00B312E5"/>
    <w:rsid w:val="00B372AA"/>
    <w:rsid w:val="00B40445"/>
    <w:rsid w:val="00B41888"/>
    <w:rsid w:val="00B42BDB"/>
    <w:rsid w:val="00B45A52"/>
    <w:rsid w:val="00B46175"/>
    <w:rsid w:val="00B46DD9"/>
    <w:rsid w:val="00B50A41"/>
    <w:rsid w:val="00B563DC"/>
    <w:rsid w:val="00B62AAA"/>
    <w:rsid w:val="00B632A8"/>
    <w:rsid w:val="00B664C7"/>
    <w:rsid w:val="00B739F6"/>
    <w:rsid w:val="00B77DC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61F"/>
    <w:rsid w:val="00BF74C7"/>
    <w:rsid w:val="00C015F1"/>
    <w:rsid w:val="00C01F33"/>
    <w:rsid w:val="00C02CC6"/>
    <w:rsid w:val="00C040F7"/>
    <w:rsid w:val="00C041B0"/>
    <w:rsid w:val="00C044AB"/>
    <w:rsid w:val="00C05706"/>
    <w:rsid w:val="00C07377"/>
    <w:rsid w:val="00C10478"/>
    <w:rsid w:val="00C12107"/>
    <w:rsid w:val="00C14D4B"/>
    <w:rsid w:val="00C154BB"/>
    <w:rsid w:val="00C212D6"/>
    <w:rsid w:val="00C26FAA"/>
    <w:rsid w:val="00C279B5"/>
    <w:rsid w:val="00C27C45"/>
    <w:rsid w:val="00C3719D"/>
    <w:rsid w:val="00C44812"/>
    <w:rsid w:val="00C54995"/>
    <w:rsid w:val="00C54D41"/>
    <w:rsid w:val="00C55569"/>
    <w:rsid w:val="00C60783"/>
    <w:rsid w:val="00C64672"/>
    <w:rsid w:val="00C70094"/>
    <w:rsid w:val="00C70697"/>
    <w:rsid w:val="00C7234C"/>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2BC"/>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4950"/>
    <w:rsid w:val="00D14D88"/>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00C2"/>
    <w:rsid w:val="00D9196D"/>
    <w:rsid w:val="00D92982"/>
    <w:rsid w:val="00DA305E"/>
    <w:rsid w:val="00DA5007"/>
    <w:rsid w:val="00DA5417"/>
    <w:rsid w:val="00DA56E8"/>
    <w:rsid w:val="00DA78C8"/>
    <w:rsid w:val="00DB0A9F"/>
    <w:rsid w:val="00DB377D"/>
    <w:rsid w:val="00DB5A64"/>
    <w:rsid w:val="00DC2D36"/>
    <w:rsid w:val="00DC53EF"/>
    <w:rsid w:val="00DC7C1C"/>
    <w:rsid w:val="00DD2AE2"/>
    <w:rsid w:val="00DE5608"/>
    <w:rsid w:val="00DE58D0"/>
    <w:rsid w:val="00DE654F"/>
    <w:rsid w:val="00DE7585"/>
    <w:rsid w:val="00DF0B6E"/>
    <w:rsid w:val="00DF15E0"/>
    <w:rsid w:val="00DF37A0"/>
    <w:rsid w:val="00DF5C56"/>
    <w:rsid w:val="00E110E7"/>
    <w:rsid w:val="00E11B20"/>
    <w:rsid w:val="00E17FA2"/>
    <w:rsid w:val="00E21FAE"/>
    <w:rsid w:val="00E22330"/>
    <w:rsid w:val="00E25498"/>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94E"/>
    <w:rsid w:val="00E67C51"/>
    <w:rsid w:val="00E72EFC"/>
    <w:rsid w:val="00E758EC"/>
    <w:rsid w:val="00E75A18"/>
    <w:rsid w:val="00E81CE7"/>
    <w:rsid w:val="00E8234C"/>
    <w:rsid w:val="00E83AA9"/>
    <w:rsid w:val="00E85928"/>
    <w:rsid w:val="00E87822"/>
    <w:rsid w:val="00E90395"/>
    <w:rsid w:val="00E90E49"/>
    <w:rsid w:val="00E917F9"/>
    <w:rsid w:val="00E9291C"/>
    <w:rsid w:val="00E93FFE"/>
    <w:rsid w:val="00E94F8A"/>
    <w:rsid w:val="00EA210A"/>
    <w:rsid w:val="00EA7A41"/>
    <w:rsid w:val="00EB077B"/>
    <w:rsid w:val="00EB1AA4"/>
    <w:rsid w:val="00EB4EA2"/>
    <w:rsid w:val="00EB5C05"/>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4C30"/>
    <w:rsid w:val="00F15FA5"/>
    <w:rsid w:val="00F209B7"/>
    <w:rsid w:val="00F2376F"/>
    <w:rsid w:val="00F243D8"/>
    <w:rsid w:val="00F2684D"/>
    <w:rsid w:val="00F303EA"/>
    <w:rsid w:val="00F30828"/>
    <w:rsid w:val="00F313D6"/>
    <w:rsid w:val="00F40F0C"/>
    <w:rsid w:val="00F4766C"/>
    <w:rsid w:val="00F507D1"/>
    <w:rsid w:val="00F519CE"/>
    <w:rsid w:val="00F51ADA"/>
    <w:rsid w:val="00F56A18"/>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D66"/>
    <w:rsid w:val="00FC212A"/>
    <w:rsid w:val="00FC4AD0"/>
    <w:rsid w:val="00FC7429"/>
    <w:rsid w:val="00FC7AF4"/>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D13F5"/>
  <w15:docId w15:val="{E8D44D52-832D-432F-99EC-E4FD388B8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54B1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254B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254B1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54B17"/>
    <w:pPr>
      <w:numPr>
        <w:ilvl w:val="2"/>
      </w:numPr>
      <w:spacing w:before="120"/>
      <w:outlineLvl w:val="2"/>
    </w:pPr>
    <w:rPr>
      <w:sz w:val="28"/>
      <w:szCs w:val="28"/>
    </w:rPr>
  </w:style>
  <w:style w:type="paragraph" w:styleId="Heading4">
    <w:name w:val="heading 4"/>
    <w:basedOn w:val="Heading3"/>
    <w:next w:val="Normal"/>
    <w:qFormat/>
    <w:rsid w:val="00254B17"/>
    <w:pPr>
      <w:numPr>
        <w:ilvl w:val="3"/>
      </w:numPr>
      <w:outlineLvl w:val="3"/>
    </w:pPr>
    <w:rPr>
      <w:sz w:val="24"/>
      <w:szCs w:val="24"/>
    </w:rPr>
  </w:style>
  <w:style w:type="paragraph" w:styleId="Heading5">
    <w:name w:val="heading 5"/>
    <w:basedOn w:val="Heading4"/>
    <w:next w:val="Normal"/>
    <w:qFormat/>
    <w:rsid w:val="00254B17"/>
    <w:pPr>
      <w:numPr>
        <w:ilvl w:val="4"/>
      </w:numPr>
      <w:outlineLvl w:val="4"/>
    </w:pPr>
    <w:rPr>
      <w:sz w:val="22"/>
      <w:szCs w:val="22"/>
    </w:rPr>
  </w:style>
  <w:style w:type="paragraph" w:styleId="Heading6">
    <w:name w:val="heading 6"/>
    <w:basedOn w:val="Normal"/>
    <w:next w:val="Normal"/>
    <w:qFormat/>
    <w:rsid w:val="00254B17"/>
    <w:pPr>
      <w:keepNext/>
      <w:keepLines/>
      <w:numPr>
        <w:ilvl w:val="5"/>
        <w:numId w:val="1"/>
      </w:numPr>
      <w:spacing w:before="120"/>
      <w:outlineLvl w:val="5"/>
    </w:pPr>
    <w:rPr>
      <w:rFonts w:cs="Arial"/>
    </w:rPr>
  </w:style>
  <w:style w:type="paragraph" w:styleId="Heading7">
    <w:name w:val="heading 7"/>
    <w:basedOn w:val="Normal"/>
    <w:next w:val="Normal"/>
    <w:qFormat/>
    <w:rsid w:val="00254B17"/>
    <w:pPr>
      <w:keepNext/>
      <w:keepLines/>
      <w:numPr>
        <w:ilvl w:val="6"/>
        <w:numId w:val="1"/>
      </w:numPr>
      <w:spacing w:before="120"/>
      <w:outlineLvl w:val="6"/>
    </w:pPr>
    <w:rPr>
      <w:rFonts w:cs="Arial"/>
    </w:rPr>
  </w:style>
  <w:style w:type="paragraph" w:styleId="Heading8">
    <w:name w:val="heading 8"/>
    <w:basedOn w:val="Heading7"/>
    <w:next w:val="Normal"/>
    <w:qFormat/>
    <w:rsid w:val="00254B17"/>
    <w:pPr>
      <w:numPr>
        <w:ilvl w:val="7"/>
      </w:numPr>
      <w:outlineLvl w:val="7"/>
    </w:pPr>
  </w:style>
  <w:style w:type="paragraph" w:styleId="Heading9">
    <w:name w:val="heading 9"/>
    <w:basedOn w:val="Heading8"/>
    <w:next w:val="Normal"/>
    <w:qFormat/>
    <w:rsid w:val="00254B17"/>
    <w:pPr>
      <w:numPr>
        <w:ilvl w:val="8"/>
      </w:numPr>
      <w:outlineLvl w:val="8"/>
    </w:pPr>
  </w:style>
  <w:style w:type="character" w:default="1" w:styleId="DefaultParagraphFont">
    <w:name w:val="Default Paragraph Font"/>
    <w:uiPriority w:val="1"/>
    <w:semiHidden/>
    <w:unhideWhenUsed/>
    <w:rsid w:val="00254B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4B17"/>
  </w:style>
  <w:style w:type="paragraph" w:styleId="TOC8">
    <w:name w:val="toc 8"/>
    <w:basedOn w:val="TOC1"/>
    <w:semiHidden/>
    <w:rsid w:val="00254B17"/>
    <w:pPr>
      <w:spacing w:before="180"/>
      <w:ind w:left="2693" w:hanging="2693"/>
    </w:pPr>
    <w:rPr>
      <w:b w:val="0"/>
      <w:bCs/>
    </w:rPr>
  </w:style>
  <w:style w:type="paragraph" w:styleId="TOC1">
    <w:name w:val="toc 1"/>
    <w:aliases w:val="Observation TOC2"/>
    <w:uiPriority w:val="39"/>
    <w:rsid w:val="00254B1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254B17"/>
    <w:pPr>
      <w:keepNext/>
      <w:keepLines/>
      <w:spacing w:before="180"/>
      <w:jc w:val="center"/>
    </w:pPr>
  </w:style>
  <w:style w:type="paragraph" w:styleId="Caption">
    <w:name w:val="caption"/>
    <w:basedOn w:val="Normal"/>
    <w:next w:val="Normal"/>
    <w:qFormat/>
    <w:rsid w:val="00254B17"/>
    <w:pPr>
      <w:spacing w:after="240"/>
      <w:jc w:val="center"/>
    </w:pPr>
    <w:rPr>
      <w:b/>
      <w:bCs/>
    </w:rPr>
  </w:style>
  <w:style w:type="paragraph" w:styleId="TOC5">
    <w:name w:val="toc 5"/>
    <w:aliases w:val="Observation TOC"/>
    <w:basedOn w:val="TOC4"/>
    <w:semiHidden/>
    <w:rsid w:val="00254B17"/>
    <w:pPr>
      <w:tabs>
        <w:tab w:val="right" w:pos="1701"/>
      </w:tabs>
      <w:ind w:left="1701" w:hanging="1701"/>
    </w:pPr>
  </w:style>
  <w:style w:type="paragraph" w:styleId="TOC4">
    <w:name w:val="toc 4"/>
    <w:basedOn w:val="TOC3"/>
    <w:semiHidden/>
    <w:rsid w:val="00254B17"/>
    <w:pPr>
      <w:ind w:left="1418" w:hanging="1418"/>
    </w:pPr>
  </w:style>
  <w:style w:type="paragraph" w:styleId="TOC3">
    <w:name w:val="toc 3"/>
    <w:basedOn w:val="TOC2"/>
    <w:semiHidden/>
    <w:rsid w:val="00254B17"/>
    <w:pPr>
      <w:ind w:left="1134" w:hanging="1134"/>
    </w:pPr>
  </w:style>
  <w:style w:type="paragraph" w:styleId="TOC2">
    <w:name w:val="toc 2"/>
    <w:basedOn w:val="TOC1"/>
    <w:semiHidden/>
    <w:rsid w:val="00254B17"/>
    <w:pPr>
      <w:keepNext w:val="0"/>
      <w:spacing w:before="0"/>
      <w:ind w:left="851" w:hanging="851"/>
    </w:pPr>
    <w:rPr>
      <w:szCs w:val="20"/>
    </w:rPr>
  </w:style>
  <w:style w:type="paragraph" w:styleId="Index2">
    <w:name w:val="index 2"/>
    <w:basedOn w:val="Index1"/>
    <w:semiHidden/>
    <w:rsid w:val="00254B17"/>
    <w:pPr>
      <w:ind w:left="284"/>
    </w:pPr>
  </w:style>
  <w:style w:type="paragraph" w:styleId="Index1">
    <w:name w:val="index 1"/>
    <w:basedOn w:val="Normal"/>
    <w:semiHidden/>
    <w:rsid w:val="00254B17"/>
    <w:pPr>
      <w:keepLines/>
      <w:spacing w:after="0"/>
    </w:pPr>
  </w:style>
  <w:style w:type="paragraph" w:styleId="DocumentMap">
    <w:name w:val="Document Map"/>
    <w:basedOn w:val="Normal"/>
    <w:semiHidden/>
    <w:rsid w:val="00254B17"/>
    <w:pPr>
      <w:shd w:val="clear" w:color="auto" w:fill="000080"/>
    </w:pPr>
    <w:rPr>
      <w:rFonts w:ascii="Tahoma" w:hAnsi="Tahoma" w:cs="Tahoma"/>
    </w:rPr>
  </w:style>
  <w:style w:type="paragraph" w:styleId="ListNumber2">
    <w:name w:val="List Number 2"/>
    <w:basedOn w:val="ListNumber"/>
    <w:rsid w:val="00254B17"/>
    <w:pPr>
      <w:ind w:left="851"/>
    </w:pPr>
  </w:style>
  <w:style w:type="paragraph" w:styleId="ListNumber">
    <w:name w:val="List Number"/>
    <w:basedOn w:val="List"/>
    <w:rsid w:val="00254B17"/>
  </w:style>
  <w:style w:type="paragraph" w:styleId="List">
    <w:name w:val="List"/>
    <w:basedOn w:val="Normal"/>
    <w:rsid w:val="00254B17"/>
    <w:pPr>
      <w:ind w:left="568" w:hanging="284"/>
    </w:pPr>
  </w:style>
  <w:style w:type="paragraph" w:styleId="Header">
    <w:name w:val="header"/>
    <w:rsid w:val="00254B1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254B17"/>
    <w:rPr>
      <w:b/>
      <w:bCs/>
      <w:position w:val="6"/>
      <w:sz w:val="16"/>
      <w:szCs w:val="16"/>
    </w:rPr>
  </w:style>
  <w:style w:type="paragraph" w:styleId="FootnoteText">
    <w:name w:val="footnote text"/>
    <w:basedOn w:val="Normal"/>
    <w:semiHidden/>
    <w:rsid w:val="00254B17"/>
    <w:pPr>
      <w:keepLines/>
      <w:spacing w:after="0"/>
      <w:ind w:left="454" w:hanging="454"/>
    </w:pPr>
    <w:rPr>
      <w:sz w:val="16"/>
      <w:szCs w:val="16"/>
    </w:rPr>
  </w:style>
  <w:style w:type="paragraph" w:customStyle="1" w:styleId="3GPPHeader">
    <w:name w:val="3GPP_Header"/>
    <w:basedOn w:val="Normal"/>
    <w:rsid w:val="00254B17"/>
    <w:pPr>
      <w:tabs>
        <w:tab w:val="left" w:pos="1701"/>
        <w:tab w:val="right" w:pos="9639"/>
      </w:tabs>
      <w:spacing w:after="240"/>
    </w:pPr>
    <w:rPr>
      <w:b/>
      <w:sz w:val="24"/>
    </w:rPr>
  </w:style>
  <w:style w:type="paragraph" w:styleId="TOC9">
    <w:name w:val="toc 9"/>
    <w:basedOn w:val="TOC8"/>
    <w:semiHidden/>
    <w:rsid w:val="00254B17"/>
    <w:pPr>
      <w:ind w:left="1418" w:hanging="1418"/>
    </w:pPr>
  </w:style>
  <w:style w:type="paragraph" w:styleId="TOC6">
    <w:name w:val="toc 6"/>
    <w:basedOn w:val="TOC5"/>
    <w:next w:val="Normal"/>
    <w:semiHidden/>
    <w:rsid w:val="00254B17"/>
    <w:pPr>
      <w:ind w:left="1985" w:hanging="1985"/>
    </w:pPr>
  </w:style>
  <w:style w:type="paragraph" w:styleId="TOC7">
    <w:name w:val="toc 7"/>
    <w:basedOn w:val="TOC6"/>
    <w:next w:val="Normal"/>
    <w:semiHidden/>
    <w:rsid w:val="00254B17"/>
    <w:pPr>
      <w:ind w:left="2268" w:hanging="2268"/>
    </w:pPr>
  </w:style>
  <w:style w:type="paragraph" w:styleId="ListBullet2">
    <w:name w:val="List Bullet 2"/>
    <w:basedOn w:val="ListBullet"/>
    <w:rsid w:val="00254B17"/>
    <w:pPr>
      <w:numPr>
        <w:numId w:val="6"/>
      </w:numPr>
    </w:pPr>
  </w:style>
  <w:style w:type="paragraph" w:styleId="ListBullet">
    <w:name w:val="List Bullet"/>
    <w:basedOn w:val="BodyText"/>
    <w:rsid w:val="00254B17"/>
    <w:pPr>
      <w:numPr>
        <w:numId w:val="5"/>
      </w:numPr>
    </w:pPr>
  </w:style>
  <w:style w:type="paragraph" w:styleId="ListBullet3">
    <w:name w:val="List Bullet 3"/>
    <w:basedOn w:val="ListBullet2"/>
    <w:rsid w:val="00254B17"/>
    <w:pPr>
      <w:numPr>
        <w:numId w:val="7"/>
      </w:numPr>
    </w:pPr>
  </w:style>
  <w:style w:type="paragraph" w:customStyle="1" w:styleId="EQ">
    <w:name w:val="EQ"/>
    <w:basedOn w:val="Normal"/>
    <w:next w:val="Normal"/>
    <w:rsid w:val="00254B17"/>
    <w:pPr>
      <w:keepLines/>
      <w:tabs>
        <w:tab w:val="center" w:pos="4536"/>
        <w:tab w:val="right" w:pos="9072"/>
      </w:tabs>
      <w:spacing w:after="180"/>
      <w:jc w:val="left"/>
    </w:pPr>
    <w:rPr>
      <w:noProof/>
      <w:lang w:eastAsia="en-US"/>
    </w:rPr>
  </w:style>
  <w:style w:type="paragraph" w:styleId="List2">
    <w:name w:val="List 2"/>
    <w:basedOn w:val="List"/>
    <w:rsid w:val="00254B17"/>
    <w:pPr>
      <w:ind w:left="851"/>
    </w:pPr>
  </w:style>
  <w:style w:type="paragraph" w:styleId="List3">
    <w:name w:val="List 3"/>
    <w:basedOn w:val="List2"/>
    <w:rsid w:val="00254B17"/>
    <w:pPr>
      <w:ind w:left="1135"/>
    </w:pPr>
  </w:style>
  <w:style w:type="paragraph" w:styleId="List4">
    <w:name w:val="List 4"/>
    <w:basedOn w:val="List3"/>
    <w:rsid w:val="00254B17"/>
    <w:pPr>
      <w:ind w:left="1418"/>
    </w:pPr>
  </w:style>
  <w:style w:type="paragraph" w:styleId="List5">
    <w:name w:val="List 5"/>
    <w:basedOn w:val="List4"/>
    <w:rsid w:val="00254B17"/>
    <w:pPr>
      <w:ind w:left="1702"/>
    </w:pPr>
  </w:style>
  <w:style w:type="paragraph" w:customStyle="1" w:styleId="EditorsNote">
    <w:name w:val="Editor's Note"/>
    <w:basedOn w:val="Normal"/>
    <w:rsid w:val="00254B17"/>
    <w:pPr>
      <w:keepLines/>
      <w:spacing w:after="180"/>
      <w:ind w:left="1135" w:hanging="851"/>
      <w:jc w:val="left"/>
    </w:pPr>
    <w:rPr>
      <w:color w:val="FF0000"/>
      <w:lang w:eastAsia="en-US"/>
    </w:rPr>
  </w:style>
  <w:style w:type="paragraph" w:styleId="ListBullet4">
    <w:name w:val="List Bullet 4"/>
    <w:basedOn w:val="ListBullet3"/>
    <w:rsid w:val="00254B17"/>
    <w:pPr>
      <w:numPr>
        <w:numId w:val="8"/>
      </w:numPr>
    </w:pPr>
  </w:style>
  <w:style w:type="paragraph" w:styleId="ListBullet5">
    <w:name w:val="List Bullet 5"/>
    <w:basedOn w:val="ListBullet4"/>
    <w:rsid w:val="00254B17"/>
    <w:pPr>
      <w:numPr>
        <w:numId w:val="4"/>
      </w:numPr>
    </w:pPr>
  </w:style>
  <w:style w:type="paragraph" w:styleId="Footer">
    <w:name w:val="footer"/>
    <w:basedOn w:val="Header"/>
    <w:semiHidden/>
    <w:rsid w:val="00254B17"/>
    <w:pPr>
      <w:jc w:val="center"/>
    </w:pPr>
    <w:rPr>
      <w:i/>
      <w:iCs/>
    </w:rPr>
  </w:style>
  <w:style w:type="paragraph" w:customStyle="1" w:styleId="Reference">
    <w:name w:val="Reference"/>
    <w:basedOn w:val="Normal"/>
    <w:qFormat/>
    <w:rsid w:val="00254B17"/>
    <w:pPr>
      <w:numPr>
        <w:numId w:val="2"/>
      </w:numPr>
    </w:pPr>
  </w:style>
  <w:style w:type="paragraph" w:styleId="BalloonText">
    <w:name w:val="Balloon Text"/>
    <w:basedOn w:val="Normal"/>
    <w:semiHidden/>
    <w:rsid w:val="00254B17"/>
    <w:rPr>
      <w:rFonts w:ascii="Tahoma" w:hAnsi="Tahoma" w:cs="Tahoma"/>
      <w:sz w:val="16"/>
      <w:szCs w:val="16"/>
    </w:rPr>
  </w:style>
  <w:style w:type="character" w:styleId="PageNumber">
    <w:name w:val="page number"/>
    <w:semiHidden/>
    <w:rsid w:val="00254B17"/>
  </w:style>
  <w:style w:type="paragraph" w:styleId="BodyText">
    <w:name w:val="Body Text"/>
    <w:basedOn w:val="Normal"/>
    <w:link w:val="BodyTextChar"/>
    <w:rsid w:val="00254B17"/>
  </w:style>
  <w:style w:type="character" w:styleId="Hyperlink">
    <w:name w:val="Hyperlink"/>
    <w:uiPriority w:val="99"/>
    <w:rsid w:val="00254B17"/>
    <w:rPr>
      <w:color w:val="0000FF"/>
      <w:u w:val="single"/>
      <w:lang w:val="en-GB"/>
    </w:rPr>
  </w:style>
  <w:style w:type="character" w:styleId="FollowedHyperlink">
    <w:name w:val="FollowedHyperlink"/>
    <w:semiHidden/>
    <w:rsid w:val="00254B17"/>
    <w:rPr>
      <w:color w:val="FF0000"/>
      <w:u w:val="single"/>
    </w:rPr>
  </w:style>
  <w:style w:type="character" w:styleId="CommentReference">
    <w:name w:val="annotation reference"/>
    <w:semiHidden/>
    <w:rsid w:val="00254B17"/>
    <w:rPr>
      <w:sz w:val="16"/>
      <w:szCs w:val="16"/>
    </w:rPr>
  </w:style>
  <w:style w:type="paragraph" w:styleId="CommentText">
    <w:name w:val="annotation text"/>
    <w:basedOn w:val="Normal"/>
    <w:semiHidden/>
    <w:rsid w:val="00254B17"/>
  </w:style>
  <w:style w:type="paragraph" w:styleId="CommentSubject">
    <w:name w:val="annotation subject"/>
    <w:basedOn w:val="CommentText"/>
    <w:next w:val="CommentText"/>
    <w:semiHidden/>
    <w:rsid w:val="00254B17"/>
    <w:rPr>
      <w:b/>
      <w:bCs/>
    </w:rPr>
  </w:style>
  <w:style w:type="character" w:customStyle="1" w:styleId="Heading1Char">
    <w:name w:val="Heading 1 Char"/>
    <w:link w:val="Heading1"/>
    <w:rsid w:val="00254B17"/>
    <w:rPr>
      <w:rFonts w:ascii="Arial" w:hAnsi="Arial" w:cs="Arial"/>
      <w:sz w:val="36"/>
      <w:szCs w:val="36"/>
      <w:lang w:val="en-GB"/>
    </w:rPr>
  </w:style>
  <w:style w:type="paragraph" w:customStyle="1" w:styleId="B1">
    <w:name w:val="B1"/>
    <w:basedOn w:val="List"/>
    <w:qFormat/>
    <w:rsid w:val="00254B17"/>
    <w:pPr>
      <w:spacing w:after="180"/>
      <w:jc w:val="left"/>
    </w:pPr>
    <w:rPr>
      <w:lang w:eastAsia="en-US"/>
    </w:rPr>
  </w:style>
  <w:style w:type="paragraph" w:customStyle="1" w:styleId="B2">
    <w:name w:val="B2"/>
    <w:basedOn w:val="List2"/>
    <w:qFormat/>
    <w:rsid w:val="00254B17"/>
    <w:pPr>
      <w:spacing w:after="180"/>
      <w:jc w:val="left"/>
    </w:pPr>
    <w:rPr>
      <w:lang w:eastAsia="en-US"/>
    </w:rPr>
  </w:style>
  <w:style w:type="paragraph" w:customStyle="1" w:styleId="B3">
    <w:name w:val="B3"/>
    <w:basedOn w:val="List3"/>
    <w:qFormat/>
    <w:rsid w:val="00254B17"/>
    <w:pPr>
      <w:spacing w:after="180"/>
      <w:jc w:val="left"/>
    </w:pPr>
    <w:rPr>
      <w:lang w:eastAsia="en-US"/>
    </w:rPr>
  </w:style>
  <w:style w:type="paragraph" w:customStyle="1" w:styleId="B4">
    <w:name w:val="B4"/>
    <w:basedOn w:val="List4"/>
    <w:qFormat/>
    <w:rsid w:val="00254B17"/>
    <w:pPr>
      <w:spacing w:after="180"/>
      <w:jc w:val="left"/>
    </w:pPr>
    <w:rPr>
      <w:lang w:eastAsia="en-US"/>
    </w:rPr>
  </w:style>
  <w:style w:type="paragraph" w:customStyle="1" w:styleId="Proposal">
    <w:name w:val="Proposal"/>
    <w:basedOn w:val="Normal"/>
    <w:qFormat/>
    <w:rsid w:val="00254B17"/>
    <w:pPr>
      <w:numPr>
        <w:numId w:val="3"/>
      </w:numPr>
      <w:tabs>
        <w:tab w:val="clear" w:pos="1304"/>
        <w:tab w:val="left" w:pos="1701"/>
      </w:tabs>
      <w:ind w:left="1701" w:hanging="1701"/>
    </w:pPr>
    <w:rPr>
      <w:b/>
      <w:bCs/>
    </w:rPr>
  </w:style>
  <w:style w:type="character" w:customStyle="1" w:styleId="BodyTextChar">
    <w:name w:val="Body Text Char"/>
    <w:link w:val="BodyText"/>
    <w:rsid w:val="00254B17"/>
    <w:rPr>
      <w:rFonts w:ascii="Arial" w:hAnsi="Arial"/>
      <w:lang w:val="en-GB"/>
    </w:rPr>
  </w:style>
  <w:style w:type="paragraph" w:customStyle="1" w:styleId="B5">
    <w:name w:val="B5"/>
    <w:basedOn w:val="List5"/>
    <w:rsid w:val="00254B17"/>
    <w:pPr>
      <w:spacing w:after="180"/>
      <w:jc w:val="left"/>
    </w:pPr>
    <w:rPr>
      <w:lang w:eastAsia="en-US"/>
    </w:rPr>
  </w:style>
  <w:style w:type="paragraph" w:customStyle="1" w:styleId="EX">
    <w:name w:val="EX"/>
    <w:basedOn w:val="Normal"/>
    <w:rsid w:val="00254B17"/>
    <w:pPr>
      <w:keepLines/>
      <w:spacing w:after="180"/>
      <w:ind w:left="1702" w:hanging="1418"/>
      <w:jc w:val="left"/>
    </w:pPr>
    <w:rPr>
      <w:lang w:eastAsia="en-US"/>
    </w:rPr>
  </w:style>
  <w:style w:type="paragraph" w:customStyle="1" w:styleId="EW">
    <w:name w:val="EW"/>
    <w:basedOn w:val="EX"/>
    <w:rsid w:val="00254B17"/>
    <w:pPr>
      <w:spacing w:after="0"/>
    </w:pPr>
  </w:style>
  <w:style w:type="paragraph" w:customStyle="1" w:styleId="TAL">
    <w:name w:val="TAL"/>
    <w:basedOn w:val="Normal"/>
    <w:link w:val="TALCar"/>
    <w:rsid w:val="00254B17"/>
    <w:pPr>
      <w:keepNext/>
      <w:keepLines/>
      <w:spacing w:after="0"/>
      <w:jc w:val="left"/>
    </w:pPr>
    <w:rPr>
      <w:sz w:val="18"/>
      <w:lang w:eastAsia="en-US"/>
    </w:rPr>
  </w:style>
  <w:style w:type="paragraph" w:customStyle="1" w:styleId="TAC">
    <w:name w:val="TAC"/>
    <w:basedOn w:val="TAL"/>
    <w:rsid w:val="00254B17"/>
    <w:pPr>
      <w:jc w:val="center"/>
    </w:pPr>
  </w:style>
  <w:style w:type="paragraph" w:customStyle="1" w:styleId="TAH">
    <w:name w:val="TAH"/>
    <w:basedOn w:val="TAC"/>
    <w:rsid w:val="00254B17"/>
    <w:rPr>
      <w:b/>
    </w:rPr>
  </w:style>
  <w:style w:type="paragraph" w:customStyle="1" w:styleId="TAN">
    <w:name w:val="TAN"/>
    <w:basedOn w:val="TAL"/>
    <w:rsid w:val="00254B17"/>
    <w:pPr>
      <w:ind w:left="851" w:hanging="851"/>
    </w:pPr>
  </w:style>
  <w:style w:type="paragraph" w:customStyle="1" w:styleId="TAR">
    <w:name w:val="TAR"/>
    <w:basedOn w:val="TAL"/>
    <w:rsid w:val="00254B17"/>
    <w:pPr>
      <w:jc w:val="right"/>
    </w:pPr>
  </w:style>
  <w:style w:type="paragraph" w:customStyle="1" w:styleId="TH">
    <w:name w:val="TH"/>
    <w:basedOn w:val="Normal"/>
    <w:rsid w:val="00254B17"/>
    <w:pPr>
      <w:keepNext/>
      <w:keepLines/>
      <w:spacing w:before="60" w:after="180"/>
      <w:jc w:val="center"/>
    </w:pPr>
    <w:rPr>
      <w:b/>
      <w:lang w:eastAsia="en-US"/>
    </w:rPr>
  </w:style>
  <w:style w:type="paragraph" w:customStyle="1" w:styleId="TF">
    <w:name w:val="TF"/>
    <w:basedOn w:val="TH"/>
    <w:rsid w:val="00254B17"/>
    <w:pPr>
      <w:keepNext w:val="0"/>
      <w:spacing w:before="0" w:after="240"/>
    </w:pPr>
  </w:style>
  <w:style w:type="paragraph" w:customStyle="1" w:styleId="TT">
    <w:name w:val="TT"/>
    <w:basedOn w:val="Heading1"/>
    <w:next w:val="Normal"/>
    <w:rsid w:val="00254B17"/>
    <w:pPr>
      <w:numPr>
        <w:numId w:val="0"/>
      </w:numPr>
      <w:ind w:left="1134" w:hanging="1134"/>
      <w:outlineLvl w:val="9"/>
    </w:pPr>
    <w:rPr>
      <w:rFonts w:cs="Times New Roman"/>
      <w:szCs w:val="20"/>
      <w:lang w:eastAsia="en-US"/>
    </w:rPr>
  </w:style>
  <w:style w:type="paragraph" w:customStyle="1" w:styleId="ZA">
    <w:name w:val="ZA"/>
    <w:rsid w:val="00254B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4B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54B1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254B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254B17"/>
  </w:style>
  <w:style w:type="paragraph" w:customStyle="1" w:styleId="ZH">
    <w:name w:val="ZH"/>
    <w:rsid w:val="00254B1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254B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54B17"/>
    <w:pPr>
      <w:framePr w:hRule="auto" w:wrap="notBeside" w:y="852"/>
    </w:pPr>
    <w:rPr>
      <w:i w:val="0"/>
      <w:sz w:val="40"/>
    </w:rPr>
  </w:style>
  <w:style w:type="paragraph" w:customStyle="1" w:styleId="ZU">
    <w:name w:val="ZU"/>
    <w:rsid w:val="00254B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54B17"/>
    <w:pPr>
      <w:framePr w:wrap="notBeside" w:y="16161"/>
    </w:pPr>
  </w:style>
  <w:style w:type="paragraph" w:customStyle="1" w:styleId="FP">
    <w:name w:val="FP"/>
    <w:basedOn w:val="Normal"/>
    <w:rsid w:val="00254B17"/>
    <w:pPr>
      <w:spacing w:after="0"/>
      <w:jc w:val="left"/>
    </w:pPr>
    <w:rPr>
      <w:lang w:eastAsia="en-US"/>
    </w:rPr>
  </w:style>
  <w:style w:type="paragraph" w:customStyle="1" w:styleId="Observation">
    <w:name w:val="Observation"/>
    <w:basedOn w:val="Proposal"/>
    <w:qFormat/>
    <w:rsid w:val="00254B17"/>
    <w:pPr>
      <w:numPr>
        <w:numId w:val="13"/>
      </w:numPr>
      <w:ind w:left="1701" w:hanging="1701"/>
    </w:pPr>
  </w:style>
  <w:style w:type="paragraph" w:styleId="TableofFigures">
    <w:name w:val="table of figures"/>
    <w:basedOn w:val="Normal"/>
    <w:next w:val="Normal"/>
    <w:uiPriority w:val="99"/>
    <w:rsid w:val="00254B17"/>
    <w:pPr>
      <w:ind w:left="1418" w:hanging="1418"/>
      <w:jc w:val="left"/>
    </w:pPr>
    <w:rPr>
      <w:b/>
    </w:rPr>
  </w:style>
  <w:style w:type="paragraph" w:customStyle="1" w:styleId="CRCoverPage">
    <w:name w:val="CR Cover Page"/>
    <w:rsid w:val="00254B17"/>
    <w:pPr>
      <w:spacing w:after="120"/>
    </w:pPr>
    <w:rPr>
      <w:rFonts w:ascii="Arial" w:hAnsi="Arial"/>
      <w:lang w:val="en-GB" w:eastAsia="en-US"/>
    </w:rPr>
  </w:style>
  <w:style w:type="paragraph" w:styleId="ListParagraph">
    <w:name w:val="List Paragraph"/>
    <w:basedOn w:val="Normal"/>
    <w:uiPriority w:val="34"/>
    <w:qFormat/>
    <w:rsid w:val="00420EB6"/>
    <w:pPr>
      <w:overflowPunct/>
      <w:autoSpaceDE/>
      <w:autoSpaceDN/>
      <w:adjustRightInd/>
      <w:spacing w:after="0"/>
      <w:ind w:left="720"/>
      <w:jc w:val="left"/>
      <w:textAlignment w:val="auto"/>
    </w:pPr>
    <w:rPr>
      <w:rFonts w:ascii="Times New Roman" w:eastAsia="Times New Roman" w:hAnsi="Times New Roman"/>
      <w:lang w:eastAsia="en-US"/>
    </w:rPr>
  </w:style>
  <w:style w:type="character" w:customStyle="1" w:styleId="TALCar">
    <w:name w:val="TAL Car"/>
    <w:link w:val="TAL"/>
    <w:rsid w:val="00441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104634">
      <w:bodyDiv w:val="1"/>
      <w:marLeft w:val="0"/>
      <w:marRight w:val="0"/>
      <w:marTop w:val="0"/>
      <w:marBottom w:val="0"/>
      <w:divBdr>
        <w:top w:val="none" w:sz="0" w:space="0" w:color="auto"/>
        <w:left w:val="none" w:sz="0" w:space="0" w:color="auto"/>
        <w:bottom w:val="none" w:sz="0" w:space="0" w:color="auto"/>
        <w:right w:val="none" w:sz="0" w:space="0" w:color="auto"/>
      </w:divBdr>
    </w:div>
    <w:div w:id="153383716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1074E-20BD-41B4-9C15-EC977095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0</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7</dc:creator>
  <cp:keywords>3GPP; Ericsson; TDoc</cp:keywords>
  <cp:lastModifiedBy>Shaohua Li 7</cp:lastModifiedBy>
  <cp:revision>2</cp:revision>
  <cp:lastPrinted>2008-01-31T06:09:00Z</cp:lastPrinted>
  <dcterms:created xsi:type="dcterms:W3CDTF">2017-11-18T01:34:00Z</dcterms:created>
  <dcterms:modified xsi:type="dcterms:W3CDTF">2017-11-18T01:34:00Z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